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sus subapartado Indicador 1158: Partes firmantes y denominación del convenio; objeto, con indicación de las actuaciones o actividades comprometidas; plazo y condiciones de vigencia; órganos o unidades encargadas de la ejecución y obligaciones económicas/financiación, con indicación de las cantidades que corresponden a cada una de las partes firmantes. Indicador 1164: Modificaciones realizadas durante la vigencia: objeto y fecha. Indicador 1167: Entidad encomendante o encomendada; objeto y denominación; presupuesto; duración, y obligaciones económicas reconocidas. Indicador 1174: Tarifas y precios fijados.</w:t>
      </w:r>
    </w:p>
    <w:p>
      <w:pPr/>
      <w:r>
        <w:rPr/>
        <w:t xml:space="preserve"> Se informa que no existe actividad o información acerca de estas obligaciones ya que en </w:t>
      </w:r>
      <w:r>
        <w:rPr>
          <w:b w:val="1"/>
          <w:bCs w:val="1"/>
        </w:rPr>
        <w:t xml:space="preserve">no se ha firmado ningún convenio ni encomienda ni encargos a medios propios por importe superior a 5.000€ IGIC excluido en 2021, 2022, 2023, 2024 y 2025</w:t>
      </w:r>
      <w:r>
        <w:rPr/>
        <w:t xml:space="preserve"> pudiendo utilizar la ciudadanía los medios legalmente establecidos para ejercer su derecho de acceso a la información pública.</w:t>
      </w:r>
    </w:p>
    <w:p>
      <w:pPr/>
      <w:r>
        <w:rPr>
          <w:i w:val="1"/>
          <w:iCs w:val="1"/>
        </w:rPr>
        <w:t xml:space="preserve">No ha exisitido actividad en relación a estas obligaciones en 2021, 2022, 2023, 2024 y 2025.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2026-08-12T18:42:22+00:00</dcterms:created>
  <dcterms:modified xsi:type="dcterms:W3CDTF">2026-08-12T18:42:22+00:00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