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su apartado 12. Contratos, se informa que en los indicadores:</w:t>
      </w:r>
    </w:p>
    <w:p>
      <w:pPr/>
      <w:r>
        <w:rPr>
          <w:b w:val="1"/>
          <w:bCs w:val="1"/>
        </w:rPr>
        <w:t xml:space="preserve">No ha existido actividad en relación a estos puntos en 2021, 2022, 2023, 2024 y 2025 al no haber existido contrataciones.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2026-06-27T20:03:55+00:00</dcterms:created>
  <dcterms:modified xsi:type="dcterms:W3CDTF">2026-06-27T20:03:55+00:00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