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quejas, sugerencias y reclamaciones sobre el funcionamiento de los servicios de la entidad se atenderán de 2 formas:</w:t>
      </w:r>
    </w:p>
    <w:p>
      <w:pPr/>
      <w:r>
        <w:rPr/>
        <w:t xml:space="preserve">1.- De manera presencial en nuestras oficinas: calle Los Cascajos, s/n, Recepción del Pabellón Cubierto, La Aldea de San Nicolás, 35470.</w:t>
      </w:r>
    </w:p>
    <w:p>
      <w:pPr/>
      <w:r>
        <w:rPr/>
        <w:t xml:space="preserve">2.- A través de la del mismo.</w:t>
      </w:r>
    </w:p>
    <w:p>
      <w:pPr/>
      <w:r>
        <w:rPr/>
        <w:t xml:space="preserve">No se han registrado quejas, ni reclamaciones en 2021, 2022, 2023 ni 2025.  </w:t>
      </w:r>
    </w:p>
    <w:tbl>
      <w:tblGrid>
        <w:gridCol w:w="3401400" w:type="dxa"/>
        <w:gridCol w:w="175950" w:type="dxa"/>
        <w:gridCol w:w="360550" w:type="dxa"/>
      </w:tblGrid>
      <w:tblPr>
        <w:tblW w:w="112950" w:type="pct"/>
        <w:tblLayout w:type="autofit"/>
        <w:bidiVisual w:val="0"/>
      </w:tblPr>
      <w:tr>
        <w:trPr>
          <w:tblHeader w:val="1"/>
        </w:trPr>
        <w:tc>
          <w:tcPr>
            <w:tcW w:w="3401400" w:type="pct"/>
          </w:tcPr>
          <w:p>
            <w:pPr/>
            <w:r>
              <w:rPr/>
              <w:t xml:space="preserve">Año</w:t>
            </w:r>
          </w:p>
        </w:tc>
        <w:tc>
          <w:tcPr>
            <w:tcW w:w="175950" w:type="pct"/>
            <w:gridSpan w:val="2"/>
          </w:tcPr>
          <w:p>
            <w:pPr/>
            <w:r>
              <w:rPr/>
              <w:t xml:space="preserve">Presentadas</w:t>
            </w:r>
          </w:p>
        </w:tc>
        <w:tc>
          <w:tcPr>
            <w:tcW w:w="360550" w:type="pct"/>
          </w:tcPr>
          <w:p>
            <w:pPr/>
            <w:r>
              <w:rPr/>
              <w:t xml:space="preserve">Resueltas</w:t>
            </w:r>
          </w:p>
        </w:tc>
      </w:tr>
      <w:tr>
        <w:trPr/>
        <w:tc>
          <w:tcPr>
            <w:tcW w:w="3401400" w:type="pct"/>
          </w:tcPr>
          <w:p>
            <w:pPr/>
            <w:r>
              <w:rPr/>
              <w:t xml:space="preserve">2025</w:t>
            </w:r>
          </w:p>
        </w:tc>
        <w:tc>
          <w:tcPr>
            <w:tcW w:w="112950" w:type="pct"/>
            <w:gridSpan w:val="2"/>
          </w:tcPr>
          <w:p>
            <w:pPr/>
            <w:r>
              <w:rPr/>
              <w:t xml:space="preserve">0</w:t>
            </w:r>
          </w:p>
        </w:tc>
        <w:tc>
          <w:tcPr>
            <w:tcW w:w="360550" w:type="pct"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3401400" w:type="pct"/>
          </w:tcPr>
          <w:p>
            <w:pPr/>
            <w:r>
              <w:rPr/>
              <w:t xml:space="preserve">2024</w:t>
            </w:r>
          </w:p>
        </w:tc>
        <w:tc>
          <w:tcPr>
            <w:tcW w:w="175950" w:type="pct"/>
            <w:gridSpan w:val="2"/>
          </w:tcPr>
          <w:p>
            <w:pPr/>
            <w:r>
              <w:rPr/>
              <w:t xml:space="preserve">1</w:t>
            </w:r>
          </w:p>
        </w:tc>
        <w:tc>
          <w:tcPr>
            <w:tcW w:w="360550" w:type="pct"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3401400" w:type="pct"/>
          </w:tcPr>
          <w:p>
            <w:pPr/>
            <w:r>
              <w:rPr/>
              <w:t xml:space="preserve">2023</w:t>
            </w:r>
          </w:p>
        </w:tc>
        <w:tc>
          <w:tcPr>
            <w:tcW w:w="175950" w:type="pct"/>
            <w:gridSpan w:val="2"/>
          </w:tcPr>
          <w:p>
            <w:pPr/>
            <w:r>
              <w:rPr/>
              <w:t xml:space="preserve">0</w:t>
            </w:r>
          </w:p>
        </w:tc>
        <w:tc>
          <w:tcPr>
            <w:tcW w:w="360550" w:type="pct"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3401400" w:type="pct"/>
          </w:tcPr>
          <w:p>
            <w:pPr/>
            <w:r>
              <w:rPr/>
              <w:t xml:space="preserve">2022</w:t>
            </w:r>
          </w:p>
        </w:tc>
        <w:tc>
          <w:tcPr>
            <w:tcW w:w="175950" w:type="pct"/>
            <w:gridSpan w:val="2"/>
          </w:tcPr>
          <w:p>
            <w:pPr/>
            <w:r>
              <w:rPr/>
              <w:t xml:space="preserve">0</w:t>
            </w:r>
          </w:p>
        </w:tc>
        <w:tc>
          <w:tcPr>
            <w:tcW w:w="360550" w:type="pct"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3401400" w:type="pct"/>
          </w:tcPr>
          <w:p>
            <w:pPr/>
            <w:r>
              <w:rPr/>
              <w:t xml:space="preserve">2021</w:t>
            </w:r>
          </w:p>
        </w:tc>
        <w:tc>
          <w:tcPr>
            <w:tcW w:w="175950" w:type="pct"/>
            <w:gridSpan w:val="2"/>
          </w:tcPr>
          <w:p>
            <w:pPr/>
            <w:r>
              <w:rPr/>
              <w:t xml:space="preserve">0</w:t>
            </w:r>
          </w:p>
        </w:tc>
        <w:tc>
          <w:tcPr>
            <w:tcW w:w="360550" w:type="pct"/>
          </w:tcPr>
          <w:p>
            <w:pPr/>
            <w:r>
              <w:rPr/>
              <w:t xml:space="preserve">0</w:t>
            </w:r>
          </w:p>
        </w:tc>
      </w:tr>
    </w:tbl>
    <w:p>
      <w:pPr/>
      <w:r>
        <w:rPr/>
        <w:t xml:space="preserve"> </w:t>
      </w:r>
    </w:p>
    <w:tbl>
      <w:tblGrid>
        <w:gridCol w:w="491400" w:type="dxa"/>
        <w:gridCol w:w="5100" w:type="dxa"/>
      </w:tblGrid>
      <w:tblPr>
        <w:tblW w:w="7300" w:type="pct"/>
        <w:tblLayout w:type="autofit"/>
        <w:bidiVisual w:val="0"/>
      </w:tblPr>
      <w:tr>
        <w:trPr>
          <w:tblHeader w:val="1"/>
        </w:trPr>
        <w:tc>
          <w:tcPr>
            <w:tcW w:w="4914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100" w:type="pct"/>
          </w:tcPr>
          <w:p>
            <w:pPr/>
            <w:r>
              <w:rPr/>
              <w:t xml:space="preserve">Queja</w:t>
            </w:r>
          </w:p>
        </w:tc>
      </w:tr>
      <w:tr>
        <w:trPr/>
        <w:tc>
          <w:tcPr>
            <w:tcW w:w="491400" w:type="pct"/>
            <w:gridSpan w:val="2"/>
          </w:tcPr>
          <w:p>
            <w:pPr/>
            <w:r>
              <w:rPr/>
              <w:t xml:space="preserve">14/06/2024</w:t>
            </w:r>
          </w:p>
        </w:tc>
        <w:tc>
          <w:tcPr>
            <w:tcW w:w="5100" w:type="pct"/>
          </w:tcPr>
          <w:p>
            <w:pPr/>
            <w:r>
              <w:rPr/>
              <w:t xml:space="preserve">Joven pensionista a la que se cobrabaron mensualidades normales, se comprueba y se devuelve la diferencia.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2026-08-12T18:44:32+00:00</dcterms:created>
  <dcterms:modified xsi:type="dcterms:W3CDTF">2026-08-12T18:44:32+00:00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