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/>
      <w:r>
        <w:rPr/>
        <w:t xml:space="preserve">Al objeto de dar cumplimiento a los Indicadores de la Ley Canaria de Transparencia y de acceso a la información pública (Ley 12/2014, de 26 de diciembre) en su apartado 17. Estadística. 1195 Información estadística necesaria para valorar el grado de cumplimiento y calidad de los servicios públicos que sean de su competencia, el Ayuntamiento de La Sociedad de Deportes de la Aldea, pone en conocimiento de la ciudadanía del municipio y del público en general, que durante los ejercicios 2023, 2024 y 2025 no se ha aplicado ningún  protocolo de revisión del grado de cumplimiento ni de calidad de los servicios públicos y por tanto no existe tal información.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2026-09-27T23:28:03+00:00</dcterms:created>
  <dcterms:modified xsi:type="dcterms:W3CDTF">2026-09-27T23:28:03+00:00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